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G65巴南收费站匝道自由流、车道布局优化项目四维动态仿真平台开发服务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年9月</w:t>
      </w:r>
    </w:p>
    <w:p>
      <w:pPr>
        <w:pStyle w:val="28"/>
        <w:jc w:val="center"/>
        <w:rPr>
          <w:rFonts w:ascii="宋体" w:hAnsi="宋体" w:cs="宋体"/>
          <w:color w:val="auto"/>
          <w:szCs w:val="21"/>
          <w:highlight w:val="none"/>
        </w:rPr>
      </w:pPr>
      <w:r>
        <w:rPr>
          <w:color w:val="auto"/>
          <w:highlight w:val="none"/>
        </w:rPr>
        <w:br w:type="page"/>
      </w:r>
      <w:bookmarkStart w:id="1" w:name="_Toc507319889"/>
      <w:bookmarkStart w:id="2" w:name="_Toc247085669"/>
      <w:bookmarkStart w:id="3" w:name="_Toc296602400"/>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6549"/>
      <w:bookmarkStart w:id="7" w:name="_Toc11329213"/>
      <w:bookmarkStart w:id="8" w:name="_Toc24874"/>
      <w:bookmarkStart w:id="9" w:name="_Toc507319891"/>
      <w:bookmarkStart w:id="10" w:name="_Toc179632528"/>
      <w:bookmarkStart w:id="11" w:name="_Toc247085672"/>
      <w:bookmarkStart w:id="12" w:name="_Toc144974480"/>
      <w:bookmarkStart w:id="13" w:name="_Toc10076"/>
      <w:bookmarkStart w:id="14" w:name="_Toc152045512"/>
      <w:bookmarkStart w:id="15" w:name="_Toc246996901"/>
      <w:bookmarkStart w:id="16" w:name="_Toc13849"/>
      <w:bookmarkStart w:id="17" w:name="_Toc152042288"/>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G65巴南收费站匝道自由流、车道布局优化项目四维动态仿真平台开发服务</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179632529"/>
      <w:bookmarkStart w:id="20" w:name="_Toc246996159"/>
      <w:bookmarkStart w:id="21" w:name="_Toc246996902"/>
      <w:bookmarkStart w:id="22" w:name="_Toc7760"/>
      <w:bookmarkStart w:id="23" w:name="_Toc11329214"/>
      <w:bookmarkStart w:id="24" w:name="_Toc10952"/>
      <w:bookmarkStart w:id="25" w:name="_Toc152045513"/>
      <w:bookmarkStart w:id="26" w:name="_Toc18109"/>
      <w:bookmarkStart w:id="27" w:name="_Toc152042289"/>
      <w:bookmarkStart w:id="28" w:name="_Toc507319892"/>
      <w:bookmarkStart w:id="29" w:name="_Toc21343"/>
      <w:bookmarkStart w:id="30" w:name="_Toc247085673"/>
      <w:bookmarkStart w:id="31" w:name="_Toc144974481"/>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265234827"/>
      <w:bookmarkStart w:id="33"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r>
        <w:rPr>
          <w:rFonts w:hint="eastAsia" w:ascii="宋体" w:hAnsi="宋体" w:cs="宋体"/>
          <w:color w:val="auto"/>
          <w:szCs w:val="21"/>
          <w:highlight w:val="none"/>
          <w:u w:val="single"/>
          <w:lang w:val="en-US" w:eastAsia="zh-CN"/>
        </w:rPr>
        <w:t>G65巴南收费站匝道自由流、车道布局优化项目四维动态仿真平台开发服务内容包括：交通事件仿真、施工区域仿真、专用车道管控方案仿真评估、特殊天气等动态限速方案仿真评估、应急车道开放仿真评估、交通组织方案仿真评估、仿真评价报告等。</w:t>
      </w:r>
      <w:bookmarkEnd w:id="35"/>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r>
        <w:rPr>
          <w:rFonts w:hint="eastAsia" w:ascii="宋体" w:hAnsi="宋体" w:cs="宋体"/>
          <w:color w:val="auto"/>
          <w:szCs w:val="21"/>
          <w:highlight w:val="none"/>
          <w:u w:val="single"/>
          <w:lang w:val="en-US" w:eastAsia="zh-CN"/>
        </w:rPr>
        <w:t>49.13</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6" w:name="工期、货期要求"/>
      <w:r>
        <w:rPr>
          <w:rFonts w:hint="eastAsia" w:ascii="宋体" w:hAnsi="宋体" w:eastAsia="宋体" w:cs="宋体"/>
          <w:color w:val="auto"/>
          <w:szCs w:val="21"/>
          <w:highlight w:val="none"/>
          <w:u w:val="single"/>
        </w:rPr>
        <w:t>预计工期40天</w:t>
      </w:r>
      <w:bookmarkEnd w:id="36"/>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7" w:name="_Toc152042290"/>
      <w:bookmarkStart w:id="38" w:name="_Toc152045514"/>
      <w:bookmarkStart w:id="39" w:name="_Toc10171"/>
      <w:bookmarkStart w:id="40" w:name="_Toc7065"/>
      <w:bookmarkStart w:id="41" w:name="_Toc179632530"/>
      <w:bookmarkStart w:id="42" w:name="_Toc11329215"/>
      <w:bookmarkStart w:id="43" w:name="_Toc247085674"/>
      <w:bookmarkStart w:id="44" w:name="_Toc246996160"/>
      <w:bookmarkStart w:id="45" w:name="_Toc246996903"/>
      <w:bookmarkStart w:id="46" w:name="_Toc144974482"/>
      <w:bookmarkStart w:id="47" w:name="_Toc30356"/>
      <w:bookmarkStart w:id="48" w:name="_Toc507319893"/>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49" w:name="标段划分"/>
      <w:r>
        <w:rPr>
          <w:rFonts w:hint="eastAsia" w:ascii="宋体" w:hAnsi="宋体" w:cs="宋体"/>
          <w:b w:val="0"/>
          <w:bCs w:val="0"/>
          <w:color w:val="auto"/>
          <w:kern w:val="2"/>
          <w:sz w:val="21"/>
          <w:szCs w:val="24"/>
          <w:highlight w:val="none"/>
          <w:u w:val="single"/>
          <w:lang w:val="en-US" w:eastAsia="zh-CN" w:bidi="ar-SA"/>
        </w:rPr>
        <w:t>1</w:t>
      </w:r>
      <w:bookmarkEnd w:id="49"/>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0" w:name="_Toc13092"/>
      <w:r>
        <w:rPr>
          <w:rFonts w:hint="eastAsia" w:ascii="宋体" w:hAnsi="宋体" w:eastAsia="宋体" w:cs="宋体"/>
          <w:color w:val="auto"/>
          <w:highlight w:val="none"/>
        </w:rPr>
        <w:t>3. 报价人资格要求</w:t>
      </w:r>
      <w:bookmarkEnd w:id="37"/>
      <w:bookmarkEnd w:id="38"/>
      <w:bookmarkEnd w:id="39"/>
      <w:bookmarkEnd w:id="40"/>
      <w:bookmarkEnd w:id="41"/>
      <w:bookmarkEnd w:id="42"/>
      <w:bookmarkEnd w:id="43"/>
      <w:bookmarkEnd w:id="44"/>
      <w:bookmarkEnd w:id="45"/>
      <w:bookmarkEnd w:id="46"/>
      <w:bookmarkEnd w:id="47"/>
      <w:bookmarkEnd w:id="48"/>
      <w:bookmarkEnd w:id="50"/>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1" w:name="_Toc152045515"/>
      <w:bookmarkStart w:id="52" w:name="_Toc246996161"/>
      <w:bookmarkStart w:id="53" w:name="_Toc246996904"/>
      <w:bookmarkStart w:id="54" w:name="_Toc144974483"/>
      <w:bookmarkStart w:id="55" w:name="_Toc179632531"/>
      <w:bookmarkStart w:id="56" w:name="_Toc247085675"/>
      <w:bookmarkStart w:id="57" w:name="_Toc152042291"/>
      <w:r>
        <w:rPr>
          <w:rFonts w:hint="eastAsia" w:ascii="宋体" w:hAnsi="宋体" w:cs="宋体"/>
          <w:color w:val="auto"/>
          <w:sz w:val="21"/>
          <w:szCs w:val="21"/>
          <w:highlight w:val="none"/>
          <w:lang w:val="en-US" w:eastAsia="zh-CN"/>
        </w:rPr>
        <w:t>3.1 资质要求：</w:t>
      </w:r>
      <w:bookmarkStart w:id="58" w:name="资质要求"/>
      <w:r>
        <w:rPr>
          <w:rFonts w:hint="eastAsia" w:ascii="宋体" w:hAnsi="宋体" w:cs="宋体"/>
          <w:color w:val="auto"/>
          <w:sz w:val="21"/>
          <w:szCs w:val="21"/>
          <w:highlight w:val="none"/>
          <w:lang w:val="en-US" w:eastAsia="zh-CN"/>
        </w:rPr>
        <w:t>报价人具有独立法人资格和有效的营业执照或者其他有效设立证明。</w:t>
      </w:r>
      <w:bookmarkEnd w:id="58"/>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59"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2022年1月1日至报价截止日期（以合同签订时间为准）至少完成一项合同金额不低于25万元的软件开发或技术服务业绩（提供合同扫描件）</w:t>
      </w:r>
      <w:bookmarkEnd w:id="59"/>
      <w:r>
        <w:rPr>
          <w:rFonts w:hint="eastAsia" w:ascii="宋体" w:hAnsi="宋体" w:cs="宋体"/>
          <w:color w:val="auto"/>
          <w:sz w:val="21"/>
          <w:szCs w:val="21"/>
          <w:highlight w:val="none"/>
          <w:lang w:val="en-US" w:eastAsia="zh-CN"/>
        </w:rPr>
        <w:t>。</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0" w:name="_Toc13035"/>
      <w:bookmarkStart w:id="61" w:name="_Toc12460"/>
      <w:bookmarkStart w:id="62" w:name="_Toc25619"/>
      <w:bookmarkStart w:id="63" w:name="_Toc507319894"/>
      <w:bookmarkStart w:id="64" w:name="_Toc14361"/>
      <w:bookmarkStart w:id="65" w:name="_Toc11329216"/>
      <w:r>
        <w:rPr>
          <w:rFonts w:hint="eastAsia" w:ascii="宋体" w:hAnsi="宋体" w:eastAsia="宋体" w:cs="宋体"/>
          <w:color w:val="auto"/>
          <w:highlight w:val="none"/>
        </w:rPr>
        <w:t>4. 评标办法</w:t>
      </w:r>
      <w:bookmarkEnd w:id="60"/>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6"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1"/>
      <w:bookmarkEnd w:id="52"/>
      <w:bookmarkEnd w:id="53"/>
      <w:bookmarkEnd w:id="54"/>
      <w:bookmarkEnd w:id="55"/>
      <w:bookmarkEnd w:id="56"/>
      <w:bookmarkEnd w:id="57"/>
      <w:bookmarkEnd w:id="61"/>
      <w:bookmarkEnd w:id="62"/>
      <w:bookmarkEnd w:id="63"/>
      <w:bookmarkEnd w:id="64"/>
      <w:bookmarkEnd w:id="65"/>
      <w:bookmarkEnd w:id="66"/>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7" w:name="_Toc11329217"/>
      <w:bookmarkStart w:id="68" w:name="_Toc152042292"/>
      <w:bookmarkStart w:id="69" w:name="_Toc144974484"/>
      <w:bookmarkStart w:id="70" w:name="_Toc507319895"/>
      <w:bookmarkStart w:id="71" w:name="_Toc179632532"/>
      <w:bookmarkStart w:id="72" w:name="_Toc246996905"/>
      <w:bookmarkStart w:id="73" w:name="_Toc247085676"/>
      <w:bookmarkStart w:id="74" w:name="_Toc246996162"/>
      <w:bookmarkStart w:id="75" w:name="_Toc152045516"/>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6" w:name="_Toc14325"/>
      <w:bookmarkStart w:id="77" w:name="_Toc31493"/>
      <w:bookmarkStart w:id="78" w:name="_Toc16686"/>
      <w:bookmarkStart w:id="79" w:name="_Toc9131"/>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color w:val="auto"/>
          <w:highlight w:val="none"/>
        </w:rPr>
        <w:t>及相关事宜</w:t>
      </w:r>
      <w:bookmarkEnd w:id="76"/>
      <w:bookmarkEnd w:id="77"/>
      <w:bookmarkEnd w:id="78"/>
      <w:bookmarkEnd w:id="79"/>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0"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80"/>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1" w:name="_Toc152045517"/>
      <w:bookmarkStart w:id="82" w:name="_Toc393"/>
      <w:bookmarkStart w:id="83" w:name="_Toc152042293"/>
      <w:bookmarkStart w:id="84" w:name="_Toc247085678"/>
      <w:bookmarkStart w:id="85" w:name="_Toc507319897"/>
      <w:bookmarkStart w:id="86" w:name="_Toc4010"/>
      <w:bookmarkStart w:id="87" w:name="_Toc246996907"/>
      <w:bookmarkStart w:id="88" w:name="_Toc246996164"/>
      <w:bookmarkStart w:id="89" w:name="_Toc11329219"/>
      <w:bookmarkStart w:id="90" w:name="_Toc179632534"/>
      <w:bookmarkStart w:id="91" w:name="_Toc144974485"/>
      <w:bookmarkStart w:id="92" w:name="_Toc18402"/>
      <w:bookmarkStart w:id="93" w:name="_Toc21615"/>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1"/>
      <w:bookmarkEnd w:id="82"/>
      <w:bookmarkEnd w:id="83"/>
      <w:bookmarkEnd w:id="84"/>
      <w:bookmarkEnd w:id="85"/>
      <w:bookmarkEnd w:id="86"/>
      <w:bookmarkEnd w:id="87"/>
      <w:bookmarkEnd w:id="88"/>
      <w:bookmarkEnd w:id="89"/>
      <w:bookmarkEnd w:id="90"/>
      <w:bookmarkEnd w:id="91"/>
      <w:bookmarkEnd w:id="92"/>
      <w:bookmarkEnd w:id="93"/>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szCs w:val="21"/>
                <w:highlight w:val="none"/>
                <w:lang w:val="en-US" w:eastAsia="zh-CN"/>
              </w:rPr>
              <w:t>毛</w:t>
            </w:r>
            <w:r>
              <w:rPr>
                <w:rFonts w:hint="eastAsia" w:ascii="宋体" w:hAnsi="宋体" w:cs="宋体"/>
                <w:szCs w:val="21"/>
                <w:highlight w:val="none"/>
              </w:rPr>
              <w:t>老师  电 话：1</w:t>
            </w:r>
            <w:r>
              <w:rPr>
                <w:rFonts w:hint="eastAsia" w:ascii="宋体" w:hAnsi="宋体" w:cs="宋体"/>
                <w:szCs w:val="21"/>
                <w:highlight w:val="none"/>
                <w:lang w:val="en-US" w:eastAsia="zh-CN"/>
              </w:rPr>
              <w:t>5736202959</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4" w:name="_Toc246996173"/>
      <w:bookmarkStart w:id="95" w:name="_Toc507319898"/>
      <w:bookmarkStart w:id="96" w:name="_Toc247085687"/>
      <w:bookmarkStart w:id="97" w:name="_Toc179632544"/>
      <w:bookmarkStart w:id="98" w:name="_Toc246996916"/>
      <w:bookmarkStart w:id="99" w:name="_Toc2000405"/>
      <w:bookmarkStart w:id="100" w:name="_Toc144974495"/>
      <w:bookmarkStart w:id="101" w:name="_Toc152042303"/>
      <w:bookmarkStart w:id="102" w:name="_Toc152045527"/>
      <w:r>
        <w:rPr>
          <w:rFonts w:hint="eastAsia" w:ascii="宋体" w:hAnsi="宋体" w:cs="宋体"/>
          <w:color w:val="auto"/>
          <w:highlight w:val="none"/>
        </w:rPr>
        <w:br w:type="page"/>
      </w:r>
      <w:bookmarkStart w:id="103" w:name="_Toc12865"/>
      <w:r>
        <w:rPr>
          <w:rFonts w:hint="eastAsia" w:ascii="宋体" w:hAnsi="宋体" w:cs="宋体"/>
          <w:color w:val="auto"/>
          <w:highlight w:val="none"/>
        </w:rPr>
        <w:t>第二章 报价人须知</w:t>
      </w:r>
      <w:bookmarkEnd w:id="94"/>
      <w:bookmarkEnd w:id="95"/>
      <w:bookmarkEnd w:id="96"/>
      <w:bookmarkEnd w:id="97"/>
      <w:bookmarkEnd w:id="98"/>
      <w:bookmarkEnd w:id="99"/>
      <w:bookmarkEnd w:id="100"/>
      <w:bookmarkEnd w:id="101"/>
      <w:bookmarkEnd w:id="102"/>
      <w:bookmarkEnd w:id="103"/>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4"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5" w:name="单据名称2"/>
            <w:r>
              <w:rPr>
                <w:rFonts w:hint="eastAsia" w:ascii="宋体" w:hAnsi="宋体" w:cs="宋体"/>
                <w:i w:val="0"/>
                <w:iCs w:val="0"/>
                <w:color w:val="auto"/>
                <w:szCs w:val="21"/>
                <w:highlight w:val="none"/>
                <w:u w:val="single"/>
                <w:lang w:val="en-US" w:eastAsia="zh-CN"/>
              </w:rPr>
              <w:t>G65巴南收费站匝道自由流、车道布局优化项目四维动态仿真平台开发服务</w:t>
            </w:r>
            <w:bookmarkEnd w:id="10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491310.00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6" w:name="支付方式"/>
            <w:r>
              <w:rPr>
                <w:rFonts w:hint="eastAsia" w:ascii="宋体" w:hAnsi="宋体" w:cs="宋体"/>
                <w:b w:val="0"/>
                <w:bCs w:val="0"/>
                <w:color w:val="auto"/>
                <w:sz w:val="21"/>
                <w:szCs w:val="21"/>
                <w:highlight w:val="none"/>
                <w:lang w:val="en-US" w:eastAsia="zh-CN"/>
              </w:rPr>
              <w:t>（1）完成正式版本的代码开发及交付，软件运行正常，通过最终验收后30日内支付至结算总额的95%； （2）剩余结算总额的5%为质量保证金，在缺陷责任期（12个月）满并履行缺陷责任义务后30日内支付。</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7" w:name="是否提供投标保证金"/>
            <w:r>
              <w:rPr>
                <w:rFonts w:hint="eastAsia" w:hAnsi="宋体" w:cs="宋体"/>
                <w:b w:val="0"/>
                <w:bCs w:val="0"/>
                <w:color w:val="auto"/>
                <w:kern w:val="0"/>
                <w:sz w:val="21"/>
                <w:szCs w:val="18"/>
                <w:highlight w:val="none"/>
                <w:lang w:val="en-US" w:eastAsia="zh-CN" w:bidi="ar"/>
              </w:rPr>
              <w:t>是</w:t>
            </w:r>
            <w:bookmarkEnd w:id="107"/>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8" w:name="投标保证金"/>
            <w:r>
              <w:rPr>
                <w:rFonts w:hint="eastAsia" w:hAnsi="宋体" w:cs="宋体"/>
                <w:color w:val="auto"/>
                <w:sz w:val="21"/>
                <w:szCs w:val="21"/>
                <w:highlight w:val="none"/>
                <w:u w:val="single"/>
                <w:lang w:val="en-US" w:eastAsia="zh-CN"/>
              </w:rPr>
              <w:t>2000.00</w:t>
            </w:r>
            <w:bookmarkEnd w:id="108"/>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09" w:name="单据名称3"/>
            <w:r>
              <w:rPr>
                <w:rFonts w:hint="eastAsia" w:ascii="宋体" w:hAnsi="宋体" w:eastAsia="宋体" w:cs="宋体"/>
                <w:i w:val="0"/>
                <w:iCs w:val="0"/>
                <w:color w:val="auto"/>
                <w:sz w:val="21"/>
                <w:szCs w:val="21"/>
                <w:highlight w:val="none"/>
                <w:u w:val="single"/>
              </w:rPr>
              <w:t>G65巴南收费站匝道自由流、车道布局优化项目四维动态仿真平台开发服务</w:t>
            </w:r>
            <w:bookmarkEnd w:id="109"/>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0" w:name="是否提供履约保证金"/>
            <w:r>
              <w:rPr>
                <w:rFonts w:hint="eastAsia" w:hAnsi="宋体" w:cs="宋体"/>
                <w:b w:val="0"/>
                <w:bCs w:val="0"/>
                <w:color w:val="auto"/>
                <w:kern w:val="0"/>
                <w:sz w:val="21"/>
                <w:szCs w:val="18"/>
                <w:highlight w:val="none"/>
                <w:lang w:val="en-US" w:eastAsia="zh-CN" w:bidi="ar"/>
              </w:rPr>
              <w:t>否</w:t>
            </w:r>
            <w:bookmarkEnd w:id="110"/>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1" w:name="履约保证金"/>
            <w:bookmarkEnd w:id="111"/>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2" w:name="单据名称4"/>
            <w:r>
              <w:rPr>
                <w:rFonts w:hint="eastAsia" w:ascii="宋体" w:hAnsi="宋体" w:eastAsia="宋体" w:cs="宋体"/>
                <w:i w:val="0"/>
                <w:iCs w:val="0"/>
                <w:color w:val="auto"/>
                <w:sz w:val="21"/>
                <w:szCs w:val="21"/>
                <w:highlight w:val="none"/>
                <w:u w:val="single"/>
              </w:rPr>
              <w:t>G65巴南收费站匝道自由流、车道布局优化项目四维动态仿真平台开发服务</w:t>
            </w:r>
            <w:bookmarkEnd w:id="112"/>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13" w:name="是否提供低价风险担保金"/>
            <w:r>
              <w:rPr>
                <w:rFonts w:hint="eastAsia" w:ascii="宋体" w:hAnsi="宋体" w:cs="宋体"/>
                <w:b w:val="0"/>
                <w:bCs w:val="0"/>
                <w:color w:val="auto"/>
                <w:kern w:val="0"/>
                <w:sz w:val="21"/>
                <w:szCs w:val="18"/>
                <w:highlight w:val="none"/>
                <w:lang w:val="en-US" w:eastAsia="zh-CN" w:bidi="ar"/>
              </w:rPr>
              <w:t>是</w:t>
            </w:r>
            <w:bookmarkEnd w:id="113"/>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4"/>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4" w:name="_Hlt227984024"/>
      <w:bookmarkEnd w:id="114"/>
    </w:p>
    <w:p>
      <w:pPr>
        <w:pStyle w:val="4"/>
        <w:jc w:val="center"/>
        <w:rPr>
          <w:rFonts w:ascii="宋体" w:hAnsi="宋体" w:eastAsia="宋体" w:cs="宋体"/>
          <w:bCs w:val="0"/>
          <w:color w:val="auto"/>
          <w:sz w:val="28"/>
          <w:szCs w:val="28"/>
          <w:highlight w:val="none"/>
        </w:rPr>
      </w:pPr>
      <w:bookmarkStart w:id="115" w:name="_Toc11284"/>
      <w:bookmarkStart w:id="116" w:name="_Toc30198"/>
      <w:bookmarkStart w:id="117" w:name="_Toc11329222"/>
      <w:bookmarkStart w:id="118" w:name="_Toc17532"/>
      <w:bookmarkStart w:id="119" w:name="_Toc21580"/>
      <w:r>
        <w:rPr>
          <w:rFonts w:hint="eastAsia" w:ascii="宋体" w:hAnsi="宋体" w:eastAsia="宋体" w:cs="宋体"/>
          <w:color w:val="auto"/>
          <w:sz w:val="28"/>
          <w:szCs w:val="28"/>
          <w:highlight w:val="none"/>
        </w:rPr>
        <w:t xml:space="preserve">附录1  </w:t>
      </w:r>
      <w:bookmarkEnd w:id="115"/>
      <w:bookmarkEnd w:id="116"/>
      <w:bookmarkEnd w:id="117"/>
      <w:bookmarkEnd w:id="118"/>
      <w:bookmarkStart w:id="120" w:name="_Toc25591"/>
      <w:bookmarkStart w:id="121" w:name="_Toc11329226"/>
      <w:bookmarkStart w:id="122" w:name="_Toc27096"/>
      <w:bookmarkStart w:id="123" w:name="_Toc12773"/>
      <w:r>
        <w:rPr>
          <w:rFonts w:hint="eastAsia" w:ascii="宋体" w:hAnsi="宋体" w:eastAsia="宋体" w:cs="宋体"/>
          <w:bCs w:val="0"/>
          <w:color w:val="auto"/>
          <w:sz w:val="28"/>
          <w:szCs w:val="28"/>
          <w:highlight w:val="none"/>
        </w:rPr>
        <w:t>报价人资格要求</w:t>
      </w:r>
      <w:bookmarkEnd w:id="119"/>
      <w:bookmarkEnd w:id="120"/>
      <w:bookmarkEnd w:id="121"/>
      <w:bookmarkEnd w:id="122"/>
      <w:bookmarkEnd w:id="123"/>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4" w:name="_Toc387234996"/>
            <w:bookmarkStart w:id="125"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6"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1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7"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2022年1月1日至报价截止日期（以合同签订时间为准）至少完成一项合同金额不低于25万元的软件开发或技术服务业绩（提供合同扫描件）</w:t>
            </w:r>
            <w:bookmarkEnd w:id="127"/>
            <w:r>
              <w:rPr>
                <w:rFonts w:hint="eastAsia" w:ascii="宋体" w:hAnsi="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8" w:name="主要管理人员要求"/>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9" w:name="其他人员要求"/>
            <w:r>
              <w:rPr>
                <w:rFonts w:hint="eastAsia" w:ascii="宋体" w:hAnsi="宋体" w:cs="宋体"/>
                <w:b w:val="0"/>
                <w:bCs w:val="0"/>
                <w:color w:val="auto"/>
                <w:szCs w:val="21"/>
                <w:highlight w:val="none"/>
                <w:lang w:val="en-US" w:eastAsia="zh-CN"/>
              </w:rPr>
              <w:t>根据项目实际进度情况及时增加人员。</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4.提供人员资格要求承诺函。</w:t>
      </w:r>
    </w:p>
    <w:p>
      <w:pPr>
        <w:pStyle w:val="28"/>
        <w:rPr>
          <w:color w:val="auto"/>
          <w:highlight w:val="none"/>
        </w:rPr>
      </w:pPr>
    </w:p>
    <w:bookmarkEnd w:id="124"/>
    <w:bookmarkEnd w:id="125"/>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30" w:name="_Toc31719"/>
      <w:bookmarkStart w:id="131" w:name="_Toc31054"/>
      <w:r>
        <w:rPr>
          <w:rFonts w:hint="eastAsia" w:ascii="宋体" w:hAnsi="宋体" w:cs="宋体"/>
          <w:color w:val="auto"/>
          <w:highlight w:val="none"/>
        </w:rPr>
        <w:t>评标办法（综合评估法）</w:t>
      </w:r>
      <w:bookmarkEnd w:id="130"/>
      <w:bookmarkEnd w:id="131"/>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项目实施方案（20分）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cs="宋体"/>
                <w:bCs/>
                <w:szCs w:val="21"/>
                <w:highlight w:val="none"/>
                <w:lang w:bidi="ar"/>
              </w:rPr>
            </w:pPr>
            <w:r>
              <w:rPr>
                <w:rFonts w:hint="eastAsia" w:ascii="宋体" w:hAnsi="宋体" w:cs="宋体"/>
                <w:bCs/>
                <w:szCs w:val="21"/>
                <w:highlight w:val="none"/>
                <w:lang w:bidi="ar"/>
              </w:rPr>
              <w:t>投标人针对项目实施方案，方案至少包含项目实施人员配置、</w:t>
            </w:r>
            <w:bookmarkStart w:id="240" w:name="_GoBack"/>
            <w:bookmarkEnd w:id="240"/>
            <w:r>
              <w:rPr>
                <w:rFonts w:hint="eastAsia" w:ascii="宋体" w:hAnsi="宋体" w:cs="宋体"/>
                <w:bCs/>
                <w:szCs w:val="21"/>
                <w:highlight w:val="none"/>
                <w:lang w:bidi="ar"/>
              </w:rPr>
              <w:t>项目实施计划、风险管理等；实施方案内容全面、结构清晰；实施方案针对技术、资源、时间的安排合理。根据编制内容优劣给分：</w:t>
            </w:r>
          </w:p>
          <w:p>
            <w:pPr>
              <w:keepNext w:val="0"/>
              <w:keepLines w:val="0"/>
              <w:suppressLineNumbers w:val="0"/>
              <w:adjustRightInd w:val="0"/>
              <w:snapToGrid w:val="0"/>
              <w:spacing w:before="0" w:beforeAutospacing="0" w:after="0" w:afterAutospacing="0" w:line="400" w:lineRule="exact"/>
              <w:ind w:left="0" w:leftChars="0" w:right="0" w:rightChars="0"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Cs/>
                <w:szCs w:val="21"/>
                <w:highlight w:val="none"/>
                <w:lang w:bidi="ar"/>
              </w:rPr>
              <w:t>注：方案内容合理、可行性高、完整性好，内容全面结构清晰得2</w:t>
            </w:r>
            <w:r>
              <w:rPr>
                <w:rFonts w:hint="eastAsia" w:ascii="宋体" w:hAnsi="宋体" w:cs="宋体"/>
                <w:highlight w:val="none"/>
              </w:rPr>
              <w:t>0~1</w:t>
            </w:r>
            <w:r>
              <w:rPr>
                <w:rFonts w:hint="eastAsia" w:ascii="宋体" w:hAnsi="宋体" w:cs="宋体"/>
                <w:highlight w:val="none"/>
                <w:lang w:val="en-US" w:eastAsia="zh-CN"/>
              </w:rPr>
              <w:t>6</w:t>
            </w:r>
            <w:r>
              <w:rPr>
                <w:rFonts w:hint="eastAsia" w:ascii="宋体" w:hAnsi="宋体" w:cs="宋体"/>
                <w:bCs/>
                <w:szCs w:val="21"/>
                <w:highlight w:val="none"/>
                <w:lang w:bidi="ar"/>
              </w:rPr>
              <w:t>分；方案内容较合理性、可行性较高、完整性一般、内容全面结构一般得1</w:t>
            </w:r>
            <w:r>
              <w:rPr>
                <w:rFonts w:hint="eastAsia" w:ascii="宋体" w:hAnsi="宋体" w:cs="宋体"/>
                <w:bCs/>
                <w:szCs w:val="21"/>
                <w:highlight w:val="none"/>
                <w:lang w:val="en-US" w:eastAsia="zh-CN" w:bidi="ar"/>
              </w:rPr>
              <w:t>6</w:t>
            </w:r>
            <w:r>
              <w:rPr>
                <w:rFonts w:hint="eastAsia" w:ascii="宋体" w:hAnsi="宋体" w:cs="宋体"/>
                <w:highlight w:val="none"/>
              </w:rPr>
              <w:t>~1</w:t>
            </w:r>
            <w:r>
              <w:rPr>
                <w:rFonts w:hint="eastAsia" w:ascii="宋体" w:hAnsi="宋体" w:cs="宋体"/>
                <w:highlight w:val="none"/>
                <w:lang w:val="en-US" w:eastAsia="zh-CN"/>
              </w:rPr>
              <w:t>2</w:t>
            </w:r>
            <w:r>
              <w:rPr>
                <w:rFonts w:hint="eastAsia" w:ascii="宋体" w:hAnsi="宋体" w:cs="宋体"/>
                <w:bCs/>
                <w:szCs w:val="21"/>
                <w:highlight w:val="none"/>
                <w:lang w:bidi="ar"/>
              </w:rPr>
              <w:t>分；方案内容应不合理性、不具有可行性、完整性较差、内容全面结构模糊得1</w:t>
            </w:r>
            <w:r>
              <w:rPr>
                <w:rFonts w:hint="eastAsia" w:ascii="宋体" w:hAnsi="宋体" w:cs="宋体"/>
                <w:bCs/>
                <w:szCs w:val="21"/>
                <w:highlight w:val="none"/>
                <w:lang w:val="en-US" w:eastAsia="zh-CN" w:bidi="ar"/>
              </w:rPr>
              <w:t>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bCs/>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项目团队（3</w:t>
            </w:r>
            <w:r>
              <w:rPr>
                <w:rFonts w:hint="default" w:asciiTheme="minorEastAsia" w:hAnsiTheme="minorEastAsia" w:eastAsiaTheme="minorEastAsia" w:cstheme="minorEastAsia"/>
                <w:b w:val="0"/>
                <w:bCs/>
                <w:i/>
                <w:iCs/>
                <w:caps w:val="0"/>
                <w:color w:val="auto"/>
                <w:kern w:val="2"/>
                <w:sz w:val="21"/>
                <w:szCs w:val="21"/>
                <w:highlight w:val="none"/>
                <w:lang w:val="en-US" w:eastAsia="zh-CN" w:bidi="ar-SA"/>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widowControl/>
              <w:suppressLineNumbers w:val="0"/>
              <w:snapToGrid w:val="0"/>
              <w:spacing w:before="0" w:beforeAutospacing="0" w:after="0" w:afterAutospacing="0" w:line="400" w:lineRule="exact"/>
              <w:ind w:left="0" w:right="0" w:firstLine="420" w:firstLineChars="200"/>
              <w:jc w:val="left"/>
              <w:rPr>
                <w:rFonts w:hint="eastAsia" w:ascii="宋体" w:hAnsi="宋体" w:cs="宋体"/>
                <w:kern w:val="0"/>
                <w:szCs w:val="21"/>
                <w:highlight w:val="none"/>
                <w:lang w:bidi="ar"/>
              </w:rPr>
            </w:pPr>
            <w:r>
              <w:rPr>
                <w:rFonts w:hint="eastAsia" w:ascii="宋体" w:hAnsi="宋体" w:cs="宋体"/>
                <w:kern w:val="0"/>
                <w:szCs w:val="21"/>
                <w:highlight w:val="none"/>
                <w:lang w:val="en-US" w:eastAsia="zh-CN" w:bidi="ar"/>
              </w:rPr>
              <w:t>1</w:t>
            </w:r>
            <w:r>
              <w:rPr>
                <w:rFonts w:hint="eastAsia" w:ascii="宋体" w:hAnsi="宋体" w:cs="宋体"/>
                <w:kern w:val="0"/>
                <w:szCs w:val="21"/>
                <w:highlight w:val="none"/>
                <w:lang w:bidi="ar"/>
              </w:rPr>
              <w:t>.报价人拟派的项目团队成员具备中级及以上职业资格或能力证书的，每人得</w:t>
            </w:r>
            <w:r>
              <w:rPr>
                <w:rFonts w:hint="eastAsia" w:ascii="宋体" w:hAnsi="宋体" w:cs="宋体"/>
                <w:kern w:val="0"/>
                <w:szCs w:val="21"/>
                <w:highlight w:val="none"/>
                <w:lang w:val="en-US" w:eastAsia="zh-CN" w:bidi="ar"/>
              </w:rPr>
              <w:t>1.5</w:t>
            </w:r>
            <w:r>
              <w:rPr>
                <w:rFonts w:hint="eastAsia" w:ascii="宋体" w:hAnsi="宋体" w:cs="宋体"/>
                <w:kern w:val="0"/>
                <w:szCs w:val="21"/>
                <w:highlight w:val="none"/>
                <w:lang w:bidi="ar"/>
              </w:rPr>
              <w:t>分，本项最多得</w:t>
            </w:r>
            <w:r>
              <w:rPr>
                <w:rFonts w:hint="eastAsia" w:ascii="宋体" w:hAnsi="宋体" w:cs="宋体"/>
                <w:kern w:val="0"/>
                <w:szCs w:val="21"/>
                <w:highlight w:val="none"/>
                <w:lang w:val="en-US" w:eastAsia="zh-CN" w:bidi="ar"/>
              </w:rPr>
              <w:t>3</w:t>
            </w:r>
            <w:r>
              <w:rPr>
                <w:rFonts w:hint="eastAsia" w:ascii="宋体" w:hAnsi="宋体" w:cs="宋体"/>
                <w:kern w:val="0"/>
                <w:szCs w:val="21"/>
                <w:highlight w:val="none"/>
                <w:lang w:bidi="ar"/>
              </w:rPr>
              <w:t>分。</w:t>
            </w:r>
          </w:p>
          <w:p>
            <w:pPr>
              <w:keepNext w:val="0"/>
              <w:keepLines w:val="0"/>
              <w:widowControl/>
              <w:suppressLineNumbers w:val="0"/>
              <w:snapToGrid w:val="0"/>
              <w:spacing w:before="0" w:beforeAutospacing="0" w:after="0" w:afterAutospacing="0" w:line="400" w:lineRule="exact"/>
              <w:ind w:left="0" w:leftChars="0" w:right="0" w:rightChars="0"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kern w:val="0"/>
                <w:szCs w:val="21"/>
                <w:highlight w:val="none"/>
                <w:shd w:val="clear" w:color="auto" w:fill="FFFFFF"/>
                <w:lang w:bidi="ar"/>
              </w:rPr>
              <w:t>提供：证书复印件并加盖报价单位法人章。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bCs/>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财务要求（1分）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widowControl w:val="0"/>
              <w:suppressLineNumbers w:val="0"/>
              <w:spacing w:before="0" w:beforeAutospacing="0" w:after="0" w:afterAutospacing="0" w:line="360" w:lineRule="exact"/>
              <w:ind w:left="0" w:right="0" w:firstLine="420"/>
              <w:jc w:val="both"/>
              <w:rPr>
                <w:rFonts w:hint="eastAsia" w:ascii="宋体" w:hAnsi="宋体" w:eastAsia="宋体" w:cs="宋体"/>
                <w:kern w:val="0"/>
                <w:sz w:val="21"/>
                <w:szCs w:val="21"/>
                <w:highlight w:val="none"/>
                <w:shd w:val="clear" w:fill="FFFFFF"/>
                <w:lang w:val="en-US" w:eastAsia="zh-CN" w:bidi="ar"/>
                <w14:ligatures w14:val="none"/>
              </w:rPr>
            </w:pPr>
            <w:r>
              <w:rPr>
                <w:rFonts w:hint="eastAsia" w:ascii="宋体" w:hAnsi="宋体" w:eastAsia="宋体" w:cs="宋体"/>
                <w:kern w:val="0"/>
                <w:sz w:val="21"/>
                <w:szCs w:val="21"/>
                <w:highlight w:val="none"/>
                <w:shd w:val="clear" w:fill="FFFFFF"/>
                <w:lang w:val="en-US" w:eastAsia="zh-CN" w:bidi="ar"/>
                <w14:ligatures w14:val="none"/>
              </w:rPr>
              <w:t>报价人2022年、2023年以及2024年经营状况良好，3 年连续不亏损得</w:t>
            </w:r>
            <w:r>
              <w:rPr>
                <w:rFonts w:hint="eastAsia" w:ascii="宋体" w:hAnsi="宋体" w:cs="宋体"/>
                <w:kern w:val="0"/>
                <w:sz w:val="21"/>
                <w:szCs w:val="21"/>
                <w:highlight w:val="none"/>
                <w:shd w:val="clear" w:fill="FFFFFF"/>
                <w:lang w:val="en-US" w:eastAsia="zh-CN" w:bidi="ar"/>
                <w14:ligatures w14:val="none"/>
              </w:rPr>
              <w:t>1</w:t>
            </w:r>
            <w:r>
              <w:rPr>
                <w:rFonts w:hint="eastAsia" w:ascii="宋体" w:hAnsi="宋体" w:eastAsia="宋体" w:cs="宋体"/>
                <w:kern w:val="0"/>
                <w:sz w:val="21"/>
                <w:szCs w:val="21"/>
                <w:highlight w:val="none"/>
                <w:shd w:val="clear" w:fill="FFFFFF"/>
                <w:lang w:val="en-US" w:eastAsia="zh-CN" w:bidi="ar"/>
                <w14:ligatures w14:val="none"/>
              </w:rPr>
              <w:t>分，本项满分为</w:t>
            </w:r>
            <w:r>
              <w:rPr>
                <w:rFonts w:hint="eastAsia" w:ascii="宋体" w:hAnsi="宋体" w:cs="宋体"/>
                <w:kern w:val="0"/>
                <w:sz w:val="21"/>
                <w:szCs w:val="21"/>
                <w:highlight w:val="none"/>
                <w:shd w:val="clear" w:fill="FFFFFF"/>
                <w:lang w:val="en-US" w:eastAsia="zh-CN" w:bidi="ar"/>
                <w14:ligatures w14:val="none"/>
              </w:rPr>
              <w:t>1</w:t>
            </w:r>
            <w:r>
              <w:rPr>
                <w:rFonts w:hint="eastAsia" w:ascii="宋体" w:hAnsi="宋体" w:eastAsia="宋体" w:cs="宋体"/>
                <w:kern w:val="0"/>
                <w:sz w:val="21"/>
                <w:szCs w:val="21"/>
                <w:highlight w:val="none"/>
                <w:shd w:val="clear" w:fill="FFFFFF"/>
                <w:lang w:val="en-US" w:eastAsia="zh-CN" w:bidi="ar"/>
                <w14:ligatures w14:val="none"/>
              </w:rPr>
              <w:t>分。</w:t>
            </w:r>
          </w:p>
          <w:p>
            <w:pPr>
              <w:keepNext w:val="0"/>
              <w:keepLines w:val="0"/>
              <w:widowControl w:val="0"/>
              <w:suppressLineNumbers w:val="0"/>
              <w:spacing w:before="0" w:beforeAutospacing="0" w:after="0" w:afterAutospacing="0" w:line="360" w:lineRule="exact"/>
              <w:ind w:left="0" w:leftChars="0" w:right="0" w:rightChars="0" w:firstLine="422" w:firstLineChars="200"/>
              <w:jc w:val="both"/>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kern w:val="2"/>
                <w:sz w:val="21"/>
                <w:szCs w:val="21"/>
                <w:highlight w:val="none"/>
                <w:lang w:val="en-US" w:eastAsia="zh-CN" w:bidi="ar"/>
                <w14:ligatures w14:val="none"/>
              </w:rPr>
              <w:t>注:提供2022 年-2024年第三方审计机构出具的审计报告复印</w:t>
            </w:r>
            <w:r>
              <w:rPr>
                <w:rFonts w:hint="eastAsia" w:ascii="宋体" w:hAnsi="宋体" w:cs="宋体"/>
                <w:b/>
                <w:bCs/>
                <w:kern w:val="2"/>
                <w:sz w:val="21"/>
                <w:szCs w:val="21"/>
                <w:highlight w:val="none"/>
                <w:lang w:val="en-US" w:eastAsia="zh-CN" w:bidi="ar"/>
                <w14:ligatures w14:val="none"/>
              </w:rPr>
              <w:t>件，</w:t>
            </w:r>
            <w:r>
              <w:rPr>
                <w:rFonts w:hint="eastAsia" w:ascii="宋体" w:hAnsi="宋体" w:eastAsia="宋体" w:cs="宋体"/>
                <w:b/>
                <w:bCs/>
                <w:kern w:val="2"/>
                <w:sz w:val="21"/>
                <w:szCs w:val="21"/>
                <w:highlight w:val="none"/>
                <w:lang w:val="en-US" w:eastAsia="zh-CN" w:bidi="ar"/>
                <w14:ligatures w14:val="none"/>
              </w:rPr>
              <w:t>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bCs/>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报价人</w:t>
            </w:r>
          </w:p>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bCs/>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业绩</w:t>
            </w:r>
          </w:p>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bCs/>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（6分）</w:t>
            </w:r>
          </w:p>
        </w:tc>
        <w:tc>
          <w:tcPr>
            <w:tcW w:w="6280" w:type="dxa"/>
            <w:gridSpan w:val="2"/>
            <w:tcBorders>
              <w:top w:val="single" w:color="auto" w:sz="4" w:space="0"/>
              <w:left w:val="single" w:color="auto" w:sz="4" w:space="0"/>
              <w:bottom w:val="single" w:color="auto" w:sz="4" w:space="0"/>
            </w:tcBorders>
            <w:vAlign w:val="center"/>
          </w:tcPr>
          <w:p>
            <w:pPr>
              <w:keepNext w:val="0"/>
              <w:keepLines w:val="0"/>
              <w:widowControl/>
              <w:suppressLineNumbers w:val="0"/>
              <w:snapToGrid w:val="0"/>
              <w:spacing w:before="0" w:beforeAutospacing="0" w:after="0" w:afterAutospacing="0" w:line="400" w:lineRule="exact"/>
              <w:ind w:left="0" w:right="0" w:firstLine="420" w:firstLineChars="200"/>
              <w:jc w:val="left"/>
              <w:rPr>
                <w:rFonts w:hint="eastAsia" w:ascii="宋体" w:hAnsi="宋体" w:cs="宋体"/>
                <w:kern w:val="0"/>
                <w:szCs w:val="21"/>
                <w:highlight w:val="none"/>
                <w:lang w:bidi="ar"/>
              </w:rPr>
            </w:pPr>
            <w:r>
              <w:rPr>
                <w:rFonts w:hint="default" w:ascii="宋体" w:hAnsi="宋体" w:cs="宋体"/>
                <w:kern w:val="0"/>
                <w:szCs w:val="21"/>
                <w:highlight w:val="none"/>
                <w:lang w:bidi="ar"/>
              </w:rPr>
              <w:t>1.满足资格条件的</w:t>
            </w:r>
            <w:r>
              <w:rPr>
                <w:rFonts w:hint="eastAsia" w:ascii="宋体" w:hAnsi="宋体" w:cs="宋体"/>
                <w:kern w:val="0"/>
                <w:szCs w:val="21"/>
                <w:highlight w:val="none"/>
                <w:lang w:val="en-US" w:eastAsia="zh-CN" w:bidi="ar"/>
              </w:rPr>
              <w:t>业绩</w:t>
            </w:r>
            <w:r>
              <w:rPr>
                <w:rFonts w:hint="default" w:ascii="宋体" w:hAnsi="宋体" w:cs="宋体"/>
                <w:kern w:val="0"/>
                <w:szCs w:val="21"/>
                <w:highlight w:val="none"/>
                <w:lang w:bidi="ar"/>
              </w:rPr>
              <w:t>要求得2分；</w:t>
            </w:r>
          </w:p>
          <w:p>
            <w:pPr>
              <w:pStyle w:val="120"/>
              <w:keepNext w:val="0"/>
              <w:keepLines w:val="0"/>
              <w:widowControl/>
              <w:suppressLineNumbers w:val="0"/>
              <w:spacing w:before="0" w:beforeAutospacing="0" w:after="0" w:afterAutospacing="0" w:line="400" w:lineRule="exact"/>
              <w:ind w:left="0" w:right="0"/>
              <w:jc w:val="left"/>
              <w:rPr>
                <w:rFonts w:hint="eastAsia" w:asciiTheme="minorEastAsia" w:hAnsiTheme="minorEastAsia" w:eastAsiaTheme="minorEastAsia" w:cstheme="minorEastAsia"/>
                <w:bCs/>
                <w:szCs w:val="21"/>
                <w:highlight w:val="none"/>
              </w:rPr>
            </w:pPr>
            <w:r>
              <w:rPr>
                <w:rFonts w:hint="eastAsia" w:ascii="宋体" w:hAnsi="宋体" w:cs="宋体"/>
                <w:kern w:val="0"/>
                <w:szCs w:val="24"/>
                <w:highlight w:val="none"/>
              </w:rPr>
              <w:t>2.在满足资格</w:t>
            </w:r>
            <w:r>
              <w:rPr>
                <w:rFonts w:hint="eastAsia" w:ascii="宋体" w:hAnsi="宋体" w:cs="宋体"/>
                <w:kern w:val="0"/>
                <w:szCs w:val="24"/>
                <w:highlight w:val="none"/>
                <w:u w:val="none"/>
              </w:rPr>
              <w:t>业绩要求的基础上，</w:t>
            </w:r>
            <w:r>
              <w:rPr>
                <w:rFonts w:hint="eastAsia" w:asciiTheme="minorEastAsia" w:hAnsiTheme="minorEastAsia" w:eastAsiaTheme="minorEastAsia" w:cstheme="minorEastAsia"/>
                <w:bCs/>
                <w:szCs w:val="21"/>
                <w:highlight w:val="none"/>
                <w:u w:val="none"/>
              </w:rPr>
              <w:t>报价人在</w:t>
            </w:r>
            <w:r>
              <w:rPr>
                <w:rFonts w:hint="eastAsia" w:ascii="宋体" w:hAnsi="宋体" w:cs="宋体"/>
                <w:szCs w:val="21"/>
                <w:highlight w:val="none"/>
                <w:u w:val="none"/>
              </w:rPr>
              <w:t>2022年1月1日至竞争性比选文件发出之日</w:t>
            </w:r>
            <w:r>
              <w:rPr>
                <w:rFonts w:hint="eastAsia" w:ascii="宋体" w:hAnsi="宋体" w:cs="宋体"/>
                <w:highlight w:val="none"/>
                <w:u w:val="none"/>
              </w:rPr>
              <w:t>止</w:t>
            </w:r>
            <w:r>
              <w:rPr>
                <w:rFonts w:hint="eastAsia" w:ascii="宋体" w:hAnsi="宋体" w:cs="宋体"/>
                <w:szCs w:val="21"/>
                <w:highlight w:val="none"/>
                <w:u w:val="none"/>
              </w:rPr>
              <w:t>（以合同签订时间为准）每承担过一项合同金额不低于</w:t>
            </w:r>
            <w:r>
              <w:rPr>
                <w:rFonts w:hint="eastAsia" w:ascii="宋体" w:hAnsi="宋体" w:cs="宋体"/>
                <w:szCs w:val="21"/>
                <w:highlight w:val="none"/>
                <w:u w:val="none"/>
                <w:lang w:val="en-US" w:eastAsia="zh-CN"/>
              </w:rPr>
              <w:t>25</w:t>
            </w:r>
            <w:r>
              <w:rPr>
                <w:rFonts w:hint="eastAsia" w:ascii="宋体" w:hAnsi="宋体" w:cs="宋体"/>
                <w:szCs w:val="21"/>
                <w:highlight w:val="none"/>
                <w:u w:val="none"/>
              </w:rPr>
              <w:t>万元的软件开发或技术服务业绩，</w:t>
            </w:r>
            <w:r>
              <w:rPr>
                <w:rFonts w:hint="eastAsia" w:asciiTheme="minorEastAsia" w:hAnsiTheme="minorEastAsia" w:eastAsiaTheme="minorEastAsia" w:cstheme="minorEastAsia"/>
                <w:bCs/>
                <w:szCs w:val="21"/>
                <w:highlight w:val="none"/>
                <w:u w:val="none"/>
              </w:rPr>
              <w:t>得</w:t>
            </w:r>
            <w:r>
              <w:rPr>
                <w:rFonts w:hint="default" w:asciiTheme="minorEastAsia" w:hAnsiTheme="minorEastAsia" w:eastAsiaTheme="minorEastAsia" w:cstheme="minorEastAsia"/>
                <w:bCs/>
                <w:szCs w:val="21"/>
                <w:highlight w:val="none"/>
                <w:u w:val="none"/>
              </w:rPr>
              <w:t>2</w:t>
            </w:r>
            <w:r>
              <w:rPr>
                <w:rFonts w:hint="eastAsia" w:asciiTheme="minorEastAsia" w:hAnsiTheme="minorEastAsia" w:eastAsiaTheme="minorEastAsia" w:cstheme="minorEastAsia"/>
                <w:bCs/>
                <w:szCs w:val="21"/>
                <w:highlight w:val="none"/>
                <w:u w:val="none"/>
              </w:rPr>
              <w:t>分</w:t>
            </w:r>
            <w:r>
              <w:rPr>
                <w:rFonts w:hint="eastAsia" w:ascii="宋体" w:hAnsi="宋体" w:cs="宋体"/>
                <w:kern w:val="0"/>
                <w:szCs w:val="24"/>
                <w:highlight w:val="none"/>
                <w:u w:val="none"/>
              </w:rPr>
              <w:t>，本项</w:t>
            </w:r>
            <w:r>
              <w:rPr>
                <w:rFonts w:hint="eastAsia" w:asciiTheme="minorEastAsia" w:hAnsiTheme="minorEastAsia" w:eastAsiaTheme="minorEastAsia" w:cstheme="minorEastAsia"/>
                <w:kern w:val="0"/>
                <w:szCs w:val="21"/>
                <w:highlight w:val="none"/>
                <w:u w:val="none"/>
                <w:shd w:val="clear" w:color="auto" w:fill="FFFFFF"/>
                <w:lang w:bidi="ar"/>
              </w:rPr>
              <w:t>最多得4分</w:t>
            </w:r>
            <w:r>
              <w:rPr>
                <w:rFonts w:hint="eastAsia" w:asciiTheme="minorEastAsia" w:hAnsiTheme="minorEastAsia" w:eastAsiaTheme="minorEastAsia" w:cstheme="minorEastAsia"/>
                <w:bCs/>
                <w:szCs w:val="21"/>
                <w:highlight w:val="none"/>
                <w:u w:val="none"/>
              </w:rPr>
              <w:t>。</w:t>
            </w:r>
          </w:p>
          <w:p>
            <w:pPr>
              <w:keepNext w:val="0"/>
              <w:keepLines w:val="0"/>
              <w:suppressLineNumbers w:val="0"/>
              <w:spacing w:before="0" w:beforeAutospacing="0" w:after="0" w:afterAutospacing="0" w:line="400" w:lineRule="exact"/>
              <w:ind w:left="0" w:leftChars="0" w:right="0" w:rightChars="0" w:firstLine="422" w:firstLineChars="200"/>
              <w:rPr>
                <w:rFonts w:asciiTheme="minorEastAsia" w:hAnsiTheme="minorEastAsia" w:eastAsiaTheme="minorEastAsia" w:cstheme="minorEastAsia"/>
                <w:bCs/>
                <w:color w:val="auto"/>
                <w:szCs w:val="21"/>
                <w:highlight w:val="none"/>
              </w:rPr>
            </w:pPr>
            <w:r>
              <w:rPr>
                <w:rFonts w:hint="eastAsia"/>
                <w:b/>
                <w:bCs/>
                <w:highlight w:val="none"/>
              </w:rPr>
              <w:t>注：提供</w:t>
            </w:r>
            <w:r>
              <w:rPr>
                <w:rFonts w:hint="default"/>
                <w:b/>
                <w:bCs/>
                <w:highlight w:val="none"/>
              </w:rPr>
              <w:t>合同</w:t>
            </w:r>
            <w:r>
              <w:rPr>
                <w:rFonts w:hint="eastAsia" w:ascii="宋体" w:hAnsi="宋体" w:cs="宋体"/>
                <w:b/>
                <w:bCs/>
                <w:szCs w:val="21"/>
                <w:highlight w:val="none"/>
                <w:shd w:val="clear" w:color="auto" w:fill="FFFFFF"/>
              </w:rPr>
              <w:t>复印件</w:t>
            </w:r>
            <w:r>
              <w:rPr>
                <w:rFonts w:hint="default"/>
                <w:b/>
                <w:bCs/>
                <w:highlight w:val="none"/>
              </w:rPr>
              <w:t>（合同需清晰反映上述业绩要求的主要内容，包括但不限于合同签订时间、合同金额及合同内容）</w:t>
            </w:r>
            <w:r>
              <w:rPr>
                <w:rFonts w:hint="eastAsia"/>
                <w:b/>
                <w:bCs/>
                <w:highlight w:val="none"/>
              </w:rPr>
              <w:t>，</w:t>
            </w:r>
            <w:r>
              <w:rPr>
                <w:rFonts w:hint="eastAsia" w:hAnsi="宋体"/>
                <w:b/>
                <w:bCs/>
                <w:kern w:val="0"/>
                <w:szCs w:val="21"/>
                <w:highlight w:val="none"/>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6</w:t>
            </w:r>
            <w:r>
              <w:rPr>
                <w:rFonts w:hint="eastAsia" w:asciiTheme="minorEastAsia" w:hAnsiTheme="minorEastAsia" w:eastAsiaTheme="minorEastAsia" w:cstheme="minorEastAsia"/>
                <w:color w:val="auto"/>
                <w:kern w:val="2"/>
                <w:sz w:val="21"/>
                <w:szCs w:val="21"/>
                <w:highlight w:val="none"/>
              </w:rPr>
              <w:t>分，每下浮1%扣0.</w:t>
            </w:r>
            <w:r>
              <w:rPr>
                <w:rFonts w:hint="eastAsia" w:asciiTheme="minorEastAsia" w:hAnsiTheme="minorEastAsia" w:eastAsiaTheme="minorEastAsia" w:cstheme="minorEastAsia"/>
                <w:color w:val="auto"/>
                <w:kern w:val="2"/>
                <w:sz w:val="21"/>
                <w:szCs w:val="21"/>
                <w:highlight w:val="none"/>
                <w:lang w:val="en-US" w:eastAsia="zh-CN"/>
              </w:rPr>
              <w:t>3</w:t>
            </w:r>
            <w:r>
              <w:rPr>
                <w:rFonts w:hint="eastAsia" w:asciiTheme="minorEastAsia" w:hAnsiTheme="minorEastAsia" w:eastAsiaTheme="minorEastAsia" w:cstheme="minorEastAsia"/>
                <w:color w:val="auto"/>
                <w:kern w:val="2"/>
                <w:sz w:val="21"/>
                <w:szCs w:val="21"/>
                <w:highlight w:val="none"/>
              </w:rPr>
              <w:t>分，</w:t>
            </w:r>
            <w:r>
              <w:rPr>
                <w:rFonts w:hint="eastAsia" w:asciiTheme="minorEastAsia" w:hAnsiTheme="minorEastAsia" w:eastAsiaTheme="minorEastAsia" w:cstheme="minorEastAsia"/>
                <w:color w:val="auto"/>
                <w:kern w:val="2"/>
                <w:sz w:val="21"/>
                <w:szCs w:val="21"/>
                <w:highlight w:val="none"/>
                <w:lang w:val="en-US" w:eastAsia="zh-CN"/>
              </w:rPr>
              <w:t>扣完为止</w:t>
            </w:r>
            <w:r>
              <w:rPr>
                <w:rFonts w:hint="eastAsia" w:asciiTheme="minorEastAsia" w:hAnsiTheme="minorEastAsia" w:eastAsiaTheme="minorEastAsia" w:cstheme="minorEastAsia"/>
                <w:color w:val="auto"/>
                <w:kern w:val="2"/>
                <w:sz w:val="21"/>
                <w:szCs w:val="21"/>
                <w:highlight w:val="none"/>
              </w:rPr>
              <w:t>。按插入法计算得分。以上计算取小数点后两位，第三位四舍五入。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2" w:name="_Toc26037"/>
      <w:bookmarkStart w:id="133" w:name="_Toc6735"/>
      <w:bookmarkStart w:id="134" w:name="_Toc19268"/>
      <w:r>
        <w:rPr>
          <w:rFonts w:hint="eastAsia" w:ascii="宋体" w:hAnsi="宋体" w:cs="宋体"/>
          <w:color w:val="auto"/>
          <w:szCs w:val="21"/>
          <w:highlight w:val="none"/>
        </w:rPr>
        <w:t>1.  评标方法</w:t>
      </w:r>
      <w:bookmarkEnd w:id="132"/>
      <w:bookmarkEnd w:id="133"/>
      <w:bookmarkEnd w:id="134"/>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5" w:name="_Toc8753"/>
      <w:bookmarkStart w:id="136" w:name="_Toc1052"/>
      <w:bookmarkStart w:id="137" w:name="_Toc31759"/>
      <w:bookmarkStart w:id="138" w:name="_Toc22200"/>
      <w:r>
        <w:rPr>
          <w:rFonts w:hint="eastAsia" w:ascii="宋体" w:hAnsi="宋体" w:cs="宋体"/>
          <w:color w:val="auto"/>
          <w:szCs w:val="21"/>
          <w:highlight w:val="none"/>
        </w:rPr>
        <w:t>2.  评审标准</w:t>
      </w:r>
      <w:bookmarkEnd w:id="135"/>
      <w:bookmarkEnd w:id="136"/>
      <w:bookmarkEnd w:id="137"/>
      <w:bookmarkEnd w:id="138"/>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9" w:name="_Toc8345"/>
      <w:bookmarkStart w:id="140" w:name="_Toc10650"/>
      <w:bookmarkStart w:id="141" w:name="_Toc5245"/>
      <w:bookmarkStart w:id="142" w:name="_Toc11564"/>
      <w:r>
        <w:rPr>
          <w:rFonts w:hint="eastAsia" w:ascii="宋体" w:hAnsi="宋体" w:cs="宋体"/>
          <w:color w:val="auto"/>
          <w:szCs w:val="21"/>
          <w:highlight w:val="none"/>
        </w:rPr>
        <w:t>3.  评标程序</w:t>
      </w:r>
      <w:bookmarkEnd w:id="139"/>
      <w:bookmarkEnd w:id="140"/>
      <w:bookmarkEnd w:id="141"/>
      <w:bookmarkEnd w:id="142"/>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3" w:name="_Toc179632804"/>
      <w:bookmarkStart w:id="144" w:name="_Toc152045785"/>
      <w:bookmarkStart w:id="145" w:name="_Toc513633964"/>
      <w:bookmarkStart w:id="146" w:name="_Toc152042574"/>
      <w:bookmarkStart w:id="147" w:name="_Toc246996353"/>
      <w:bookmarkStart w:id="148" w:name="_Toc503951043"/>
      <w:bookmarkStart w:id="149" w:name="_Toc447827049"/>
      <w:bookmarkStart w:id="150" w:name="_Toc2000411"/>
      <w:bookmarkStart w:id="151" w:name="_Toc144974854"/>
      <w:bookmarkStart w:id="152" w:name="_Toc514858707"/>
      <w:bookmarkStart w:id="153" w:name="_Toc246997096"/>
      <w:bookmarkStart w:id="154" w:name="_Toc247085870"/>
      <w:bookmarkStart w:id="155" w:name="_Toc15010"/>
      <w:bookmarkStart w:id="156" w:name="_Toc246997097"/>
      <w:bookmarkStart w:id="157" w:name="_Toc246996354"/>
      <w:bookmarkStart w:id="158" w:name="_Toc247085872"/>
      <w:bookmarkStart w:id="159" w:name="_Toc152042575"/>
      <w:bookmarkStart w:id="160" w:name="_Toc179632806"/>
      <w:bookmarkStart w:id="161" w:name="_Toc144974855"/>
      <w:bookmarkStart w:id="162" w:name="_Toc152045786"/>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3"/>
      <w:bookmarkEnd w:id="144"/>
      <w:bookmarkEnd w:id="145"/>
      <w:bookmarkEnd w:id="146"/>
      <w:bookmarkEnd w:id="147"/>
      <w:bookmarkEnd w:id="148"/>
      <w:bookmarkEnd w:id="149"/>
      <w:bookmarkEnd w:id="150"/>
      <w:bookmarkEnd w:id="151"/>
      <w:bookmarkEnd w:id="152"/>
      <w:bookmarkEnd w:id="153"/>
      <w:bookmarkEnd w:id="154"/>
      <w:r>
        <w:rPr>
          <w:rFonts w:hint="eastAsia" w:ascii="宋体" w:hAnsi="宋体" w:cs="宋体"/>
          <w:color w:val="auto"/>
          <w:highlight w:val="none"/>
          <w:lang w:val="en-US" w:eastAsia="zh-CN"/>
        </w:rPr>
        <w:t>服务要求</w:t>
      </w:r>
      <w:bookmarkEnd w:id="155"/>
    </w:p>
    <w:bookmarkEnd w:id="156"/>
    <w:bookmarkEnd w:id="157"/>
    <w:bookmarkEnd w:id="158"/>
    <w:bookmarkEnd w:id="159"/>
    <w:bookmarkEnd w:id="160"/>
    <w:bookmarkEnd w:id="161"/>
    <w:bookmarkEnd w:id="162"/>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63" w:name="_Toc514858708"/>
      <w:bookmarkStart w:id="164" w:name="_Toc514430114"/>
      <w:bookmarkStart w:id="165" w:name="_Toc2000412"/>
      <w:bookmarkStart w:id="166" w:name="_Toc246996355"/>
      <w:bookmarkStart w:id="167" w:name="_Toc179632807"/>
      <w:bookmarkStart w:id="168" w:name="_Toc144974856"/>
      <w:bookmarkStart w:id="169" w:name="_Toc152042576"/>
      <w:bookmarkStart w:id="170" w:name="_Toc246997098"/>
      <w:bookmarkStart w:id="171" w:name="_Toc152045787"/>
      <w:bookmarkStart w:id="172" w:name="_Toc507320039"/>
      <w:bookmarkStart w:id="173" w:name="_Toc247085873"/>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174" w:name="_Toc17525"/>
      <w:r>
        <w:rPr>
          <w:rFonts w:hint="eastAsia" w:ascii="宋体" w:hAnsi="宋体" w:eastAsia="宋体" w:cs="宋体"/>
          <w:b/>
          <w:bCs/>
          <w:color w:val="auto"/>
          <w:kern w:val="44"/>
          <w:sz w:val="44"/>
          <w:szCs w:val="44"/>
          <w:highlight w:val="none"/>
          <w:lang w:val="en-US" w:eastAsia="zh-CN" w:bidi="ar-SA"/>
        </w:rPr>
        <w:t xml:space="preserve">第五章  </w:t>
      </w:r>
      <w:bookmarkEnd w:id="163"/>
      <w:bookmarkEnd w:id="164"/>
      <w:bookmarkEnd w:id="165"/>
      <w:r>
        <w:rPr>
          <w:rFonts w:hint="eastAsia" w:ascii="宋体" w:hAnsi="宋体" w:eastAsia="宋体" w:cs="宋体"/>
          <w:b/>
          <w:bCs/>
          <w:color w:val="auto"/>
          <w:kern w:val="44"/>
          <w:sz w:val="44"/>
          <w:szCs w:val="44"/>
          <w:highlight w:val="none"/>
          <w:lang w:val="en-US" w:eastAsia="zh-CN" w:bidi="ar-SA"/>
        </w:rPr>
        <w:t>合同范本</w:t>
      </w:r>
      <w:bookmarkEnd w:id="174"/>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5"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6" w:name="_Toc2000413"/>
      <w:bookmarkStart w:id="177" w:name="_Toc27626"/>
      <w:bookmarkStart w:id="178"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5"/>
      <w:bookmarkEnd w:id="176"/>
      <w:bookmarkEnd w:id="177"/>
      <w:bookmarkEnd w:id="178"/>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79" w:name="_Toc513633967"/>
      <w:bookmarkStart w:id="180" w:name="_Toc513646738"/>
      <w:bookmarkStart w:id="181" w:name="_Toc514858710"/>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79"/>
      <w:bookmarkEnd w:id="180"/>
      <w:bookmarkEnd w:id="181"/>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2" w:name="_Toc28780"/>
      <w:bookmarkStart w:id="183" w:name="_Toc5459"/>
      <w:bookmarkStart w:id="184" w:name="_Toc1368"/>
      <w:bookmarkStart w:id="185" w:name="_Toc11329273"/>
      <w:r>
        <w:rPr>
          <w:rFonts w:hint="eastAsia" w:ascii="宋体" w:hAnsi="宋体" w:eastAsia="宋体" w:cs="宋体"/>
          <w:color w:val="auto"/>
          <w:sz w:val="32"/>
          <w:szCs w:val="40"/>
          <w:highlight w:val="none"/>
        </w:rPr>
        <w:t>目    录</w:t>
      </w:r>
      <w:bookmarkEnd w:id="166"/>
      <w:bookmarkEnd w:id="167"/>
      <w:bookmarkEnd w:id="168"/>
      <w:bookmarkEnd w:id="169"/>
      <w:bookmarkEnd w:id="170"/>
      <w:bookmarkEnd w:id="171"/>
      <w:bookmarkEnd w:id="172"/>
      <w:bookmarkEnd w:id="173"/>
      <w:bookmarkEnd w:id="182"/>
      <w:bookmarkEnd w:id="183"/>
      <w:bookmarkEnd w:id="184"/>
      <w:bookmarkEnd w:id="185"/>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186" w:name="_Toc15863"/>
      <w:bookmarkStart w:id="187" w:name="_Toc29615"/>
      <w:bookmarkStart w:id="188" w:name="_Toc25874"/>
      <w:bookmarkStart w:id="189" w:name="_Toc29547"/>
      <w:bookmarkStart w:id="190" w:name="_Toc503951048"/>
      <w:bookmarkStart w:id="191" w:name="_Toc513633969"/>
      <w:bookmarkStart w:id="192" w:name="_Toc447827053"/>
      <w:r>
        <w:rPr>
          <w:rFonts w:hint="eastAsia" w:ascii="宋体" w:hAnsi="宋体" w:eastAsia="宋体" w:cs="宋体"/>
          <w:color w:val="auto"/>
          <w:sz w:val="28"/>
          <w:highlight w:val="none"/>
        </w:rPr>
        <w:t>竞争比选响应声明书</w:t>
      </w:r>
      <w:bookmarkEnd w:id="186"/>
      <w:bookmarkEnd w:id="187"/>
      <w:bookmarkEnd w:id="188"/>
      <w:bookmarkEnd w:id="189"/>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93" w:name="_Toc27815"/>
      <w:bookmarkStart w:id="194"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195" w:name="_Toc15139"/>
      <w:r>
        <w:rPr>
          <w:rFonts w:hint="eastAsia" w:ascii="宋体" w:hAnsi="宋体" w:eastAsia="宋体" w:cs="宋体"/>
          <w:color w:val="auto"/>
          <w:sz w:val="28"/>
          <w:highlight w:val="none"/>
        </w:rPr>
        <w:t>法定代表人身份证明或法定代表人授权委托书</w:t>
      </w:r>
      <w:bookmarkEnd w:id="193"/>
      <w:bookmarkEnd w:id="195"/>
    </w:p>
    <w:bookmarkEnd w:id="194"/>
    <w:p>
      <w:pPr>
        <w:pStyle w:val="4"/>
        <w:spacing w:line="480" w:lineRule="auto"/>
        <w:jc w:val="center"/>
        <w:outlineLvl w:val="2"/>
        <w:rPr>
          <w:rFonts w:ascii="宋体" w:hAnsi="宋体" w:eastAsia="宋体" w:cs="宋体"/>
          <w:color w:val="auto"/>
          <w:sz w:val="24"/>
          <w:szCs w:val="24"/>
          <w:highlight w:val="none"/>
        </w:rPr>
      </w:pPr>
      <w:bookmarkStart w:id="196" w:name="_Toc20985"/>
      <w:bookmarkStart w:id="197" w:name="_Toc14141"/>
      <w:r>
        <w:rPr>
          <w:rFonts w:hint="eastAsia" w:ascii="宋体" w:hAnsi="宋体" w:eastAsia="宋体" w:cs="宋体"/>
          <w:color w:val="auto"/>
          <w:sz w:val="24"/>
          <w:szCs w:val="24"/>
          <w:highlight w:val="none"/>
        </w:rPr>
        <w:t>（一）法定代表人身份证明</w:t>
      </w:r>
      <w:bookmarkEnd w:id="196"/>
      <w:bookmarkEnd w:id="197"/>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8" w:name="_Toc27897"/>
      <w:bookmarkStart w:id="199" w:name="_Toc369531698"/>
      <w:bookmarkStart w:id="200" w:name="_Toc352691662"/>
      <w:r>
        <w:rPr>
          <w:rFonts w:ascii="宋体" w:hAnsi="宋体"/>
          <w:color w:val="auto"/>
          <w:highlight w:val="none"/>
          <w:u w:val="single"/>
        </w:rPr>
        <w:t xml:space="preserve">        </w:t>
      </w:r>
      <w:r>
        <w:rPr>
          <w:rFonts w:ascii="宋体" w:hAnsi="宋体"/>
          <w:color w:val="auto"/>
          <w:highlight w:val="none"/>
        </w:rPr>
        <w:t>年</w:t>
      </w:r>
      <w:bookmarkEnd w:id="198"/>
      <w:bookmarkEnd w:id="199"/>
      <w:bookmarkEnd w:id="200"/>
      <w:r>
        <w:rPr>
          <w:rFonts w:ascii="宋体" w:hAnsi="宋体"/>
          <w:color w:val="auto"/>
          <w:highlight w:val="none"/>
        </w:rPr>
        <w:t>龄</w:t>
      </w:r>
      <w:bookmarkStart w:id="201" w:name="_Toc247527829"/>
      <w:bookmarkStart w:id="202" w:name="_Toc352691663"/>
      <w:bookmarkStart w:id="203" w:name="_Toc247514248"/>
      <w:bookmarkStart w:id="204" w:name="_Toc300835211"/>
      <w:bookmarkStart w:id="205" w:name="_Toc152045789"/>
      <w:bookmarkStart w:id="206" w:name="_Toc15573"/>
      <w:bookmarkStart w:id="207" w:name="_Toc384308377"/>
      <w:bookmarkStart w:id="208" w:name="_Toc152042578"/>
      <w:bookmarkStart w:id="209" w:name="_Toc361508754"/>
      <w:bookmarkStart w:id="210" w:name="_Toc369531699"/>
      <w:bookmarkStart w:id="211" w:name="_Toc144974858"/>
      <w:r>
        <w:rPr>
          <w:rFonts w:ascii="宋体" w:hAnsi="宋体"/>
          <w:color w:val="auto"/>
          <w:highlight w:val="none"/>
        </w:rPr>
        <w:t>：</w:t>
      </w:r>
      <w:bookmarkEnd w:id="201"/>
      <w:bookmarkEnd w:id="202"/>
      <w:bookmarkEnd w:id="203"/>
      <w:bookmarkEnd w:id="204"/>
      <w:bookmarkEnd w:id="205"/>
      <w:bookmarkEnd w:id="206"/>
      <w:bookmarkEnd w:id="207"/>
      <w:bookmarkEnd w:id="208"/>
      <w:bookmarkEnd w:id="209"/>
      <w:bookmarkEnd w:id="210"/>
      <w:bookmarkEnd w:id="211"/>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12" w:name="_Toc491883233"/>
      <w:bookmarkStart w:id="213" w:name="_Toc3882"/>
      <w:bookmarkStart w:id="214" w:name="_Toc58"/>
      <w:r>
        <w:rPr>
          <w:rFonts w:hint="eastAsia" w:ascii="宋体" w:hAnsi="宋体" w:eastAsia="宋体" w:cs="宋体"/>
          <w:color w:val="auto"/>
          <w:sz w:val="24"/>
          <w:szCs w:val="24"/>
          <w:highlight w:val="none"/>
        </w:rPr>
        <w:t>（二）</w:t>
      </w:r>
      <w:bookmarkEnd w:id="212"/>
      <w:r>
        <w:rPr>
          <w:rFonts w:hint="eastAsia" w:ascii="宋体" w:hAnsi="宋体" w:eastAsia="宋体" w:cs="宋体"/>
          <w:color w:val="auto"/>
          <w:sz w:val="24"/>
          <w:szCs w:val="24"/>
          <w:highlight w:val="none"/>
        </w:rPr>
        <w:t>法定代表人授权委托书</w:t>
      </w:r>
      <w:bookmarkEnd w:id="213"/>
      <w:bookmarkEnd w:id="214"/>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5" w:name="_Toc11329275"/>
      <w:bookmarkStart w:id="216" w:name="_Toc31983"/>
      <w:r>
        <w:rPr>
          <w:rFonts w:hint="eastAsia" w:ascii="宋体" w:hAnsi="宋体" w:eastAsia="宋体" w:cs="宋体"/>
          <w:color w:val="auto"/>
          <w:sz w:val="28"/>
          <w:highlight w:val="none"/>
        </w:rPr>
        <w:t>三、</w:t>
      </w:r>
      <w:bookmarkEnd w:id="190"/>
      <w:bookmarkEnd w:id="191"/>
      <w:bookmarkEnd w:id="192"/>
      <w:bookmarkEnd w:id="215"/>
      <w:r>
        <w:rPr>
          <w:rFonts w:hint="eastAsia" w:ascii="宋体" w:hAnsi="宋体" w:eastAsia="宋体" w:cs="宋体"/>
          <w:color w:val="auto"/>
          <w:sz w:val="28"/>
          <w:highlight w:val="none"/>
        </w:rPr>
        <w:t>报价一览表</w:t>
      </w:r>
      <w:bookmarkEnd w:id="216"/>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7" w:name="_Toc11329278"/>
      <w:bookmarkStart w:id="218" w:name="_Toc513633971"/>
      <w:bookmarkStart w:id="219" w:name="_Toc503951050"/>
      <w:bookmarkStart w:id="220" w:name="_Toc246996369"/>
      <w:bookmarkStart w:id="221" w:name="_Toc179632823"/>
      <w:bookmarkStart w:id="222" w:name="_Toc152045803"/>
      <w:bookmarkStart w:id="223" w:name="_Toc152042592"/>
      <w:bookmarkStart w:id="224" w:name="_Toc144974871"/>
      <w:bookmarkStart w:id="225" w:name="_Toc447827058"/>
      <w:bookmarkStart w:id="226" w:name="_Toc247085887"/>
      <w:bookmarkStart w:id="227" w:name="_Toc24699711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514"/>
        <w:gridCol w:w="884"/>
        <w:gridCol w:w="2039"/>
        <w:gridCol w:w="753"/>
        <w:gridCol w:w="834"/>
        <w:gridCol w:w="875"/>
        <w:gridCol w:w="800"/>
        <w:gridCol w:w="913"/>
        <w:gridCol w:w="907"/>
      </w:tblGrid>
      <w:tr>
        <w:tblPrEx>
          <w:tblCellMar>
            <w:top w:w="0" w:type="dxa"/>
            <w:left w:w="108" w:type="dxa"/>
            <w:bottom w:w="0" w:type="dxa"/>
            <w:right w:w="108" w:type="dxa"/>
          </w:tblCellMar>
        </w:tblPrEx>
        <w:trPr>
          <w:trHeight w:val="58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88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服务项目</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98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交通事件仿真</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Style w:val="169"/>
                <w:highlight w:val="none"/>
                <w:lang w:val="en-US" w:eastAsia="zh-CN" w:bidi="ar"/>
              </w:rPr>
              <w:t>交通事件仿真系统可实时映射高速公路的交通事故或手动模事故，可设置事故等级，占用车道，事故后周边道路限行速度，沿线情报板，指示牌动态变化展示事故信息。</w:t>
            </w:r>
            <w:r>
              <w:rPr>
                <w:rStyle w:val="169"/>
                <w:highlight w:val="none"/>
                <w:lang w:val="en-US" w:eastAsia="zh-CN" w:bidi="ar"/>
              </w:rPr>
              <w:br w:type="textWrapping"/>
            </w:r>
            <w:r>
              <w:rPr>
                <w:rStyle w:val="169"/>
                <w:highlight w:val="none"/>
                <w:lang w:val="en-US" w:eastAsia="zh-CN" w:bidi="ar"/>
              </w:rPr>
              <w:t xml:space="preserve">用户可以通过接口自由输入，以模拟不同位置，不同占用车道，不同流量情况下的上游管控标志的管控方法。 </w:t>
            </w:r>
            <w:r>
              <w:rPr>
                <w:rStyle w:val="169"/>
                <w:highlight w:val="none"/>
                <w:lang w:val="en-US" w:eastAsia="zh-CN" w:bidi="ar"/>
              </w:rPr>
              <w:br w:type="textWrapping"/>
            </w:r>
            <w:r>
              <w:rPr>
                <w:rStyle w:val="169"/>
                <w:highlight w:val="none"/>
                <w:lang w:val="en-US" w:eastAsia="zh-CN" w:bidi="ar"/>
              </w:rPr>
              <w:t>在事故输入时，可以设置全面翔实的道路救援信息，包括事故点位，占用车道据，事故等级，持续时间，事故区影响范围内的车辆速度救援反馈线路，救援耗时等各类设置。</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51"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施工区域仿真</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Style w:val="169"/>
                <w:highlight w:val="none"/>
                <w:lang w:val="en-US" w:eastAsia="zh-CN" w:bidi="ar"/>
              </w:rPr>
              <w:t>有效应用于相关各类施工区的实时在线仿真，用以评估施工区在不同的道路施工方案(包括长期施工和临时施工下)，交通系统的拥堵及蔓延情况。同时在区域路网的分流路线及相关的诱导措施确定后，可以评估不同的分流方案对交通系统运行的影响。</w:t>
            </w:r>
            <w:r>
              <w:rPr>
                <w:rStyle w:val="169"/>
                <w:highlight w:val="none"/>
                <w:lang w:val="en-US" w:eastAsia="zh-CN" w:bidi="ar"/>
              </w:rPr>
              <w:br w:type="textWrapping"/>
            </w:r>
            <w:r>
              <w:rPr>
                <w:rStyle w:val="169"/>
                <w:highlight w:val="none"/>
                <w:lang w:val="en-US" w:eastAsia="zh-CN" w:bidi="ar"/>
              </w:rPr>
              <w:t>可实时在高速上任意位置添加施工区域，可设置特征包括选择施工区所在路段、位置，施工区占用长度、占用时间、占用车道、限速等信息。</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专用车道管控方案仿真评估</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本系统可根据上游不同的流量、车型比例，自动调整车道限行功能。同时用户也可手动选择路网中不同路段，实时调整货车车辆的限行车道信息，以及限制通行的时间，评估方案的通行效率。</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特殊天气等动态限速方案仿真评估</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支持用户选择不同的路段，对其上行驶车辆的速度分车道和车型设置，通过对连续区段道路的速度渐变设置，达到高速上某一区域内的动态限速效果。</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应急车道开放仿真评估</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可动态设置高速各路段的应急车道开放情况，并且可限制可驶入的车型，开放时间，通过平行仿真快速推演应急车道开放后的交通运行状态。</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6</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交通组织方案仿真评估</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系统可实时调整高速不同区段流量，手动输入后将数据实时传输至仿真引擎后端，系统自动修改对应发车信息，仿真模拟不同流量状态下的高速系统的运行效果。</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7</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仿真评价报告</w:t>
            </w:r>
          </w:p>
        </w:tc>
        <w:tc>
          <w:tcPr>
            <w:tcW w:w="2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系统依据实时推演的全局仿真数据，将高速上的路网车型比例、各路段平均速度、各车道平均速度、各路段排队长度信息、主干路实时服务水平、主干路实时拥堵信息指标生成可视化图表，滚动展示实时传输的仿真数据。</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3437" w:type="dxa"/>
            <w:gridSpan w:val="3"/>
            <w:tcBorders>
              <w:top w:val="single" w:color="auto" w:sz="4" w:space="0"/>
              <w:left w:val="single" w:color="000000" w:sz="8" w:space="0"/>
              <w:bottom w:val="single" w:color="000000" w:sz="8" w:space="0"/>
              <w:right w:val="single" w:color="000000" w:sz="8"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450" w:hRule="atLeast"/>
        </w:trPr>
        <w:tc>
          <w:tcPr>
            <w:tcW w:w="3437" w:type="dxa"/>
            <w:gridSpan w:val="3"/>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8" w:name="_Toc12910"/>
      <w:bookmarkStart w:id="229" w:name="_Toc11961"/>
      <w:bookmarkStart w:id="230" w:name="_Toc4544"/>
      <w:bookmarkStart w:id="231" w:name="_Toc18757"/>
      <w:r>
        <w:rPr>
          <w:rFonts w:hint="eastAsia" w:ascii="宋体" w:hAnsi="宋体" w:eastAsia="宋体" w:cs="宋体"/>
          <w:color w:val="auto"/>
          <w:sz w:val="28"/>
          <w:highlight w:val="none"/>
        </w:rPr>
        <w:t>四、资格审查资料</w:t>
      </w:r>
      <w:bookmarkEnd w:id="217"/>
      <w:bookmarkEnd w:id="218"/>
      <w:bookmarkEnd w:id="219"/>
      <w:bookmarkEnd w:id="228"/>
      <w:bookmarkEnd w:id="229"/>
      <w:bookmarkEnd w:id="230"/>
      <w:bookmarkEnd w:id="231"/>
    </w:p>
    <w:bookmarkEnd w:id="220"/>
    <w:bookmarkEnd w:id="221"/>
    <w:bookmarkEnd w:id="222"/>
    <w:bookmarkEnd w:id="223"/>
    <w:bookmarkEnd w:id="224"/>
    <w:bookmarkEnd w:id="225"/>
    <w:bookmarkEnd w:id="226"/>
    <w:bookmarkEnd w:id="227"/>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32" w:name="_Toc513633974"/>
      <w:bookmarkStart w:id="233" w:name="_Toc503951058"/>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4"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2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5"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2022年1月1日至报价截止日期（以合同签订时间为准）至少完成一项合同金额不低于25万元的软件开发或技术服务业绩（提供合同扫描件）</w:t>
            </w:r>
            <w:bookmarkEnd w:id="235"/>
            <w:r>
              <w:rPr>
                <w:rFonts w:hint="eastAsia" w:ascii="宋体" w:hAnsi="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6" w:name="主要管理人员要求1"/>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7" w:name="其他人员要求1"/>
            <w:r>
              <w:rPr>
                <w:rFonts w:hint="eastAsia" w:ascii="宋体" w:hAnsi="宋体" w:cs="宋体"/>
                <w:b w:val="0"/>
                <w:bCs w:val="0"/>
                <w:color w:val="auto"/>
                <w:szCs w:val="21"/>
                <w:highlight w:val="none"/>
                <w:lang w:val="en-US" w:eastAsia="zh-CN"/>
              </w:rPr>
              <w:t>根据项目实际进度情况及时增加人员。</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4.提供人员资格要求承诺函。</w:t>
      </w:r>
    </w:p>
    <w:p>
      <w:pPr>
        <w:rPr>
          <w:color w:val="auto"/>
          <w:highlight w:val="none"/>
        </w:rPr>
      </w:pP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cs="宋体"/>
          <w:b/>
          <w:bCs/>
          <w:color w:val="auto"/>
          <w:kern w:val="0"/>
          <w:sz w:val="28"/>
          <w:szCs w:val="20"/>
          <w:highlight w:val="none"/>
          <w:lang w:eastAsia="zh-CN"/>
        </w:rPr>
      </w:pP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8" w:name="_Toc7326"/>
      <w:r>
        <w:rPr>
          <w:rFonts w:hint="eastAsia" w:ascii="宋体" w:hAnsi="宋体" w:eastAsia="宋体" w:cs="宋体"/>
          <w:color w:val="auto"/>
          <w:sz w:val="28"/>
          <w:highlight w:val="none"/>
        </w:rPr>
        <w:t>五、报价人承诺</w:t>
      </w:r>
      <w:bookmarkEnd w:id="238"/>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39" w:name="_Toc22594"/>
      <w:r>
        <w:rPr>
          <w:rFonts w:hint="eastAsia" w:ascii="宋体" w:hAnsi="宋体" w:eastAsia="宋体" w:cs="宋体"/>
          <w:b/>
          <w:bCs/>
          <w:color w:val="auto"/>
          <w:kern w:val="0"/>
          <w:sz w:val="28"/>
          <w:szCs w:val="32"/>
          <w:highlight w:val="none"/>
          <w:lang w:val="en-US" w:eastAsia="zh-CN" w:bidi="ar-SA"/>
        </w:rPr>
        <w:t>六、报价人其他资料</w:t>
      </w:r>
      <w:bookmarkEnd w:id="239"/>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32"/>
    <w:bookmarkEnd w:id="233"/>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3297CA4-6F55-4C30-8825-75FE4F38A89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BA521186-8FA2-4A46-A114-9AF54F82D16A}"/>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0509E2D0-2F14-4CD1-B86C-6946705EDC1F}"/>
  </w:font>
  <w:font w:name="方正小标宋_GBK">
    <w:panose1 w:val="03000509000000000000"/>
    <w:charset w:val="86"/>
    <w:family w:val="script"/>
    <w:pitch w:val="default"/>
    <w:sig w:usb0="00000001" w:usb1="080E0000" w:usb2="00000000" w:usb3="00000000" w:csb0="00040000" w:csb1="00000000"/>
    <w:embedRegular r:id="rId4" w:fontKey="{6F3B8913-D17F-4A0B-937E-F8A1E3BFC0AC}"/>
  </w:font>
  <w:font w:name="仿宋">
    <w:panose1 w:val="02010609060101010101"/>
    <w:charset w:val="86"/>
    <w:family w:val="modern"/>
    <w:pitch w:val="default"/>
    <w:sig w:usb0="800002BF" w:usb1="38CF7CFA" w:usb2="00000016" w:usb3="00000000" w:csb0="00040001" w:csb1="00000000"/>
    <w:embedRegular r:id="rId5" w:fontKey="{03E6BC83-1FED-47EB-BB1E-38DE85146E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8484B"/>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E220F0"/>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5F376B1"/>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819CD"/>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character" w:customStyle="1" w:styleId="169">
    <w:name w:val="font31"/>
    <w:basedOn w:val="4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5</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2025-09-18T01:48:46Z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